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E0" w:rsidRPr="00535528" w:rsidRDefault="00B851E0"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180"/>
        <w:jc w:val="center"/>
        <w:rPr>
          <w:rFonts w:asciiTheme="minorHAnsi" w:hAnsiTheme="minorHAnsi" w:cstheme="minorHAnsi"/>
          <w:b/>
          <w:sz w:val="22"/>
          <w:szCs w:val="22"/>
          <w:u w:val="single"/>
        </w:rPr>
      </w:pPr>
      <w:r w:rsidRPr="00535528">
        <w:rPr>
          <w:rFonts w:asciiTheme="minorHAnsi" w:hAnsiTheme="minorHAnsi" w:cstheme="minorHAnsi"/>
          <w:b/>
          <w:sz w:val="22"/>
          <w:szCs w:val="22"/>
          <w:u w:val="single"/>
        </w:rPr>
        <w:t>CHEEKTOWAGA ECONOMIC DEVELOPMENT CORPORATION</w:t>
      </w:r>
    </w:p>
    <w:p w:rsidR="00B851E0" w:rsidRPr="00535528" w:rsidRDefault="00B851E0"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center"/>
        <w:rPr>
          <w:rFonts w:asciiTheme="minorHAnsi" w:hAnsiTheme="minorHAnsi" w:cstheme="minorHAnsi"/>
          <w:b/>
          <w:sz w:val="22"/>
          <w:szCs w:val="22"/>
          <w:u w:val="single"/>
        </w:rPr>
      </w:pPr>
      <w:r w:rsidRPr="00535528">
        <w:rPr>
          <w:rFonts w:asciiTheme="minorHAnsi" w:hAnsiTheme="minorHAnsi" w:cstheme="minorHAnsi"/>
          <w:b/>
          <w:sz w:val="22"/>
          <w:szCs w:val="22"/>
          <w:u w:val="single"/>
        </w:rPr>
        <w:t>INVESTMENT POLICY</w:t>
      </w: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center"/>
        <w:rPr>
          <w:rFonts w:asciiTheme="minorHAnsi" w:hAnsiTheme="minorHAnsi" w:cstheme="minorHAnsi"/>
          <w:b/>
          <w:sz w:val="22"/>
          <w:szCs w:val="22"/>
          <w:u w:val="single"/>
        </w:rPr>
      </w:pPr>
    </w:p>
    <w:p w:rsidR="00535528" w:rsidRP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540"/>
        <w:jc w:val="both"/>
        <w:rPr>
          <w:rFonts w:asciiTheme="minorHAnsi" w:hAnsiTheme="minorHAnsi" w:cstheme="minorHAnsi"/>
          <w:b/>
          <w:sz w:val="20"/>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540"/>
        <w:jc w:val="both"/>
        <w:rPr>
          <w:rFonts w:asciiTheme="minorHAnsi" w:hAnsiTheme="minorHAnsi" w:cstheme="minorHAnsi"/>
          <w:sz w:val="21"/>
          <w:szCs w:val="21"/>
        </w:rPr>
      </w:pPr>
      <w:r w:rsidRPr="00535528">
        <w:rPr>
          <w:rFonts w:asciiTheme="minorHAnsi" w:hAnsiTheme="minorHAnsi" w:cstheme="minorHAnsi"/>
          <w:b/>
          <w:sz w:val="21"/>
          <w:szCs w:val="21"/>
        </w:rPr>
        <w:t>Scope</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Section 2925 of the Public Authorities Law requires the Cheektowaga Economic Development Corporation (the Corporation) to adopt by resolution comprehensive investment guidelines which detail its operative policy and instructions to officers regarding the investment, monitoring and reporting of funds of the Corporation.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In addition to the requirements set forth in Section 2925 of the Public Authorities law, the Corporation is subject to the deposit and investment restrictions contained in Sections 10 and 11 of the General Municipal law, which govern the deposit and investment of funds for the Corporation’s own use and account.</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This investment policy is adopted by the Corporation pursuant to the foregoing provisions of the Public Authorities Law and General Municipal law and shall apply to all moneys and other financial resources available for investment on the Corporation’s own behalf or, where applicable, on behalf of any other entity or individual.</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rFonts w:asciiTheme="minorHAnsi" w:hAnsiTheme="minorHAnsi" w:cstheme="minorHAnsi"/>
          <w:b/>
          <w:sz w:val="21"/>
          <w:szCs w:val="21"/>
        </w:rPr>
      </w:pPr>
      <w:r w:rsidRPr="00535528">
        <w:rPr>
          <w:rFonts w:asciiTheme="minorHAnsi" w:hAnsiTheme="minorHAnsi" w:cstheme="minorHAnsi"/>
          <w:b/>
          <w:sz w:val="21"/>
          <w:szCs w:val="21"/>
        </w:rPr>
        <w:t>Governing Principles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A.</w:t>
      </w:r>
      <w:r w:rsidRPr="00535528">
        <w:rPr>
          <w:rFonts w:asciiTheme="minorHAnsi" w:hAnsiTheme="minorHAnsi" w:cstheme="minorHAnsi"/>
          <w:b/>
          <w:sz w:val="21"/>
          <w:szCs w:val="21"/>
        </w:rPr>
        <w:tab/>
        <w:t>Investment Objectives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The primary objectives of the Corporation’s Investment Policy are, in order of priority, as follows (i) to conform with all applicable federal, state and local laws and legal requirements; (ii) to adequately safeguard principal; (iii) to provide sufficient liquidity to meet all operating requirements of the Corporation; and (iv) to obtain a reasonable rate of return.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B.</w:t>
      </w:r>
      <w:r w:rsidRPr="00535528">
        <w:rPr>
          <w:rFonts w:asciiTheme="minorHAnsi" w:hAnsiTheme="minorHAnsi" w:cstheme="minorHAnsi"/>
          <w:b/>
          <w:sz w:val="21"/>
          <w:szCs w:val="21"/>
        </w:rPr>
        <w:tab/>
        <w:t>Diversification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As the Corporation is subject to the deposit and investment restrictions set forth in Sections 10 and 11 of the General Municipal law, the opportunity to diversify among types of investments is limited.  Subject to these legal restraints, however, the policy of the Corporation is to diversity by investment instrument by maturity and where practicable by financial institutions.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C.</w:t>
      </w:r>
      <w:r w:rsidRPr="00535528">
        <w:rPr>
          <w:rFonts w:asciiTheme="minorHAnsi" w:hAnsiTheme="minorHAnsi" w:cstheme="minorHAnsi"/>
          <w:b/>
          <w:sz w:val="21"/>
          <w:szCs w:val="21"/>
        </w:rPr>
        <w:tab/>
        <w:t>Internal Controls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1.</w:t>
      </w:r>
      <w:r w:rsidRPr="00535528">
        <w:rPr>
          <w:rFonts w:asciiTheme="minorHAnsi" w:hAnsiTheme="minorHAnsi" w:cstheme="minorHAnsi"/>
          <w:sz w:val="21"/>
          <w:szCs w:val="21"/>
        </w:rPr>
        <w:tab/>
        <w:t>All funds received by an Officer or Member of the Corporation shall be promptly deposited with the depositories designated by the Corporation for the receipt of such funds.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2.</w:t>
      </w:r>
      <w:r w:rsidRPr="00535528">
        <w:rPr>
          <w:rFonts w:asciiTheme="minorHAnsi" w:hAnsiTheme="minorHAnsi" w:cstheme="minorHAnsi"/>
          <w:sz w:val="21"/>
          <w:szCs w:val="21"/>
        </w:rPr>
        <w:tab/>
        <w:t xml:space="preserve">Pursuant to Section 11(7) of the General Municipal law, the corporation shall maintain or cause to be maintained a proper record of all books, notes, securities or other evidence of indebtedness held by the Corporation for investment and deposit purposes.  </w:t>
      </w:r>
      <w:r w:rsidRPr="00535528">
        <w:rPr>
          <w:rFonts w:asciiTheme="minorHAnsi" w:hAnsiTheme="minorHAnsi" w:cstheme="minorHAnsi"/>
          <w:sz w:val="21"/>
          <w:szCs w:val="21"/>
        </w:rPr>
        <w:lastRenderedPageBreak/>
        <w:t>Such record shall identify the security, the funds for which it is held, the place where kept, the date of sale or other disposition, and the amount received from such sale or other disposition.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3.</w:t>
      </w:r>
      <w:r w:rsidRPr="00535528">
        <w:rPr>
          <w:rFonts w:asciiTheme="minorHAnsi" w:hAnsiTheme="minorHAnsi" w:cstheme="minorHAnsi"/>
          <w:sz w:val="21"/>
          <w:szCs w:val="21"/>
        </w:rPr>
        <w:tab/>
        <w:t>The Corporation is responsible for establishing and maintaining an internal control structure to provide reasonable, but not absolute, assurance that deposits and investments are safeguarded against loss from unauthorized uses or disposition, that transactions are executed in accordance with management’s authorization and recorded properly, and are managed in compliance with applicable laws and regulations.</w:t>
      </w: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r w:rsidRPr="00535528">
        <w:rPr>
          <w:rFonts w:asciiTheme="minorHAnsi" w:hAnsiTheme="minorHAnsi" w:cstheme="minorHAnsi"/>
          <w:i/>
          <w:sz w:val="18"/>
          <w:szCs w:val="18"/>
        </w:rPr>
        <w:t>CHEEKTOWAGA ECONOMIC DEVELOPMENT CORPORATION</w:t>
      </w: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r w:rsidRPr="00535528">
        <w:rPr>
          <w:rFonts w:asciiTheme="minorHAnsi" w:hAnsiTheme="minorHAnsi" w:cstheme="minorHAnsi"/>
          <w:i/>
          <w:sz w:val="18"/>
          <w:szCs w:val="18"/>
        </w:rPr>
        <w:t>INVESTMENT POLICY</w:t>
      </w:r>
      <w:r>
        <w:rPr>
          <w:rFonts w:asciiTheme="minorHAnsi" w:hAnsiTheme="minorHAnsi" w:cstheme="minorHAnsi"/>
          <w:i/>
          <w:sz w:val="18"/>
          <w:szCs w:val="18"/>
        </w:rPr>
        <w:t xml:space="preserve"> – Page 2</w:t>
      </w: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18"/>
          <w:szCs w:val="18"/>
        </w:rPr>
      </w:pPr>
    </w:p>
    <w:p w:rsidR="00535528" w:rsidRP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b/>
          <w:sz w:val="21"/>
          <w:szCs w:val="21"/>
        </w:rPr>
      </w:pPr>
      <w:r w:rsidRPr="00535528">
        <w:rPr>
          <w:rFonts w:asciiTheme="minorHAnsi" w:hAnsiTheme="minorHAnsi" w:cstheme="minorHAnsi"/>
          <w:b/>
          <w:sz w:val="21"/>
          <w:szCs w:val="21"/>
        </w:rPr>
        <w:t>D.</w:t>
      </w:r>
      <w:r w:rsidRPr="00535528">
        <w:rPr>
          <w:rFonts w:asciiTheme="minorHAnsi" w:hAnsiTheme="minorHAnsi" w:cstheme="minorHAnsi"/>
          <w:b/>
          <w:sz w:val="21"/>
          <w:szCs w:val="21"/>
        </w:rPr>
        <w:tab/>
        <w:t>Authorized Financial Institutions and Dealers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The Corporation shall maintain a list of financial institutions and dealers approved for investment purposes and establish appropriate limits to the amount of investments that may be outstanding with each financial institution or dealer.  All financial institutions with which the corporation conducts business must be creditworthy as determined by criteria established by the Corporation.  All banks with which the Corporation does business shall provide their most recent Consolidated Report of Condition (Call Report) at the request of the Corporation.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rFonts w:asciiTheme="minorHAnsi" w:hAnsiTheme="minorHAnsi" w:cstheme="minorHAnsi"/>
          <w:b/>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rFonts w:asciiTheme="minorHAnsi" w:hAnsiTheme="minorHAnsi" w:cstheme="minorHAnsi"/>
          <w:b/>
          <w:sz w:val="21"/>
          <w:szCs w:val="21"/>
        </w:rPr>
      </w:pPr>
      <w:r w:rsidRPr="00535528">
        <w:rPr>
          <w:rFonts w:asciiTheme="minorHAnsi" w:hAnsiTheme="minorHAnsi" w:cstheme="minorHAnsi"/>
          <w:b/>
          <w:sz w:val="21"/>
          <w:szCs w:val="21"/>
        </w:rPr>
        <w:t>E.</w:t>
      </w:r>
      <w:r w:rsidRPr="00535528">
        <w:rPr>
          <w:rFonts w:asciiTheme="minorHAnsi" w:hAnsiTheme="minorHAnsi" w:cstheme="minorHAnsi"/>
          <w:b/>
          <w:sz w:val="21"/>
          <w:szCs w:val="21"/>
        </w:rPr>
        <w:tab/>
        <w:t>Purchase of Investments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The Corporation may contract for the purchase of investments directly.  All purchased obligations, unless registered or inscribed in the name of the Corporation shall be purchased through, delivered to, and held in the custody of a bank or trust company.  Such obligations shall be purchased, sold or presented for redemption or payment by such bank or trust company only in accordance with prior written authorization from the officer authorized to make the investment.  All such transactions shall be confirmed to the Corporation by the bank or trust company and shall be held pursuant to a written custodial agreement.</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sz w:val="21"/>
          <w:szCs w:val="21"/>
        </w:rPr>
      </w:pPr>
      <w:r w:rsidRPr="00535528">
        <w:rPr>
          <w:rFonts w:asciiTheme="minorHAnsi" w:hAnsiTheme="minorHAnsi" w:cstheme="minorHAnsi"/>
          <w:b/>
          <w:sz w:val="21"/>
          <w:szCs w:val="21"/>
        </w:rPr>
        <w:t>Investments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A.</w:t>
      </w:r>
      <w:r w:rsidRPr="00535528">
        <w:rPr>
          <w:rFonts w:asciiTheme="minorHAnsi" w:hAnsiTheme="minorHAnsi" w:cstheme="minorHAnsi"/>
          <w:b/>
          <w:sz w:val="21"/>
          <w:szCs w:val="21"/>
        </w:rPr>
        <w:tab/>
        <w:t>General Policy</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It is the general policy of the Corporation that funds not required for immediate expenditure shall be invested as described below.  Investments shall be made with judgment and care, under circumstances then prevailing, which persons of prudence, discretion and intelligence exercise in the management of their own affairs, not for speculation, but for investment, considering the safety of the principal as well as the probable income to be derived.</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B.</w:t>
      </w:r>
      <w:r w:rsidRPr="00535528">
        <w:rPr>
          <w:rFonts w:asciiTheme="minorHAnsi" w:hAnsiTheme="minorHAnsi" w:cstheme="minorHAnsi"/>
          <w:b/>
          <w:sz w:val="21"/>
          <w:szCs w:val="21"/>
        </w:rPr>
        <w:tab/>
        <w:t>Permitted Investments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lastRenderedPageBreak/>
        <w:t>The President is authorized to invest funds not required for immediate expenditure in the following investments permitted under Section 11 of the General Municipal Law.</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1.</w:t>
      </w:r>
      <w:r w:rsidRPr="00535528">
        <w:rPr>
          <w:rFonts w:asciiTheme="minorHAnsi" w:hAnsiTheme="minorHAnsi" w:cstheme="minorHAnsi"/>
          <w:sz w:val="21"/>
          <w:szCs w:val="21"/>
        </w:rPr>
        <w:tab/>
        <w:t>Special time deposit accounts in, or certificates of deposit issued by any commercial bank or trust company that is located in and authorized to do business in new York State, provided that such deposit account or certificate of deposit is secured in the same manner as provided in Deposits section below of this Investment Policy and is payable within such time as the proceeds shall be needed to meet expenditures for which the funds were obtained.</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2.</w:t>
      </w:r>
      <w:r w:rsidRPr="00535528">
        <w:rPr>
          <w:rFonts w:asciiTheme="minorHAnsi" w:hAnsiTheme="minorHAnsi" w:cstheme="minorHAnsi"/>
          <w:sz w:val="21"/>
          <w:szCs w:val="21"/>
        </w:rPr>
        <w:tab/>
        <w:t>Such other obligations as may be permitted under Section 11 of the General Municipal Law.  All investments shall be payable or redeemable at the option of the Corporation within such times as the proceeds will be needed to meet expenditures for purposes for which the moneys were provided and, in the case of obligations purchased with the proceeds of bonds or notes, shall be payable or redeemable at the option of the Corporation within two years of the date of purchase, and comply with such other requirements as set forth in Section 11 of the General Municipal Law.</w:t>
      </w: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r w:rsidRPr="00535528">
        <w:rPr>
          <w:rFonts w:asciiTheme="minorHAnsi" w:hAnsiTheme="minorHAnsi" w:cstheme="minorHAnsi"/>
          <w:i/>
          <w:sz w:val="18"/>
          <w:szCs w:val="18"/>
        </w:rPr>
        <w:t>CHEEKTOWAGA ECONOMIC DEVELOPMENT CORPORATION</w:t>
      </w: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b/>
          <w:sz w:val="21"/>
          <w:szCs w:val="21"/>
        </w:rPr>
      </w:pPr>
      <w:r w:rsidRPr="00535528">
        <w:rPr>
          <w:rFonts w:asciiTheme="minorHAnsi" w:hAnsiTheme="minorHAnsi" w:cstheme="minorHAnsi"/>
          <w:i/>
          <w:sz w:val="18"/>
          <w:szCs w:val="18"/>
        </w:rPr>
        <w:t>INVESTMENT POLICY</w:t>
      </w:r>
      <w:r>
        <w:rPr>
          <w:rFonts w:asciiTheme="minorHAnsi" w:hAnsiTheme="minorHAnsi" w:cstheme="minorHAnsi"/>
          <w:i/>
          <w:sz w:val="18"/>
          <w:szCs w:val="18"/>
        </w:rPr>
        <w:t xml:space="preserve"> – Page</w:t>
      </w:r>
      <w:r>
        <w:rPr>
          <w:rFonts w:asciiTheme="minorHAnsi" w:hAnsiTheme="minorHAnsi" w:cstheme="minorHAnsi"/>
          <w:i/>
          <w:sz w:val="18"/>
          <w:szCs w:val="18"/>
        </w:rPr>
        <w:t xml:space="preserve"> 3</w:t>
      </w: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b/>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b/>
          <w:sz w:val="21"/>
          <w:szCs w:val="21"/>
        </w:rPr>
      </w:pPr>
      <w:r w:rsidRPr="00535528">
        <w:rPr>
          <w:rFonts w:asciiTheme="minorHAnsi" w:hAnsiTheme="minorHAnsi" w:cstheme="minorHAnsi"/>
          <w:b/>
          <w:sz w:val="21"/>
          <w:szCs w:val="21"/>
        </w:rPr>
        <w:t>Deposits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b/>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b/>
          <w:sz w:val="21"/>
          <w:szCs w:val="21"/>
        </w:rPr>
      </w:pPr>
      <w:r w:rsidRPr="00535528">
        <w:rPr>
          <w:rFonts w:asciiTheme="minorHAnsi" w:hAnsiTheme="minorHAnsi" w:cstheme="minorHAnsi"/>
          <w:b/>
          <w:sz w:val="21"/>
          <w:szCs w:val="21"/>
        </w:rPr>
        <w:t>A.</w:t>
      </w:r>
      <w:r w:rsidRPr="00535528">
        <w:rPr>
          <w:rFonts w:asciiTheme="minorHAnsi" w:hAnsiTheme="minorHAnsi" w:cstheme="minorHAnsi"/>
          <w:b/>
          <w:sz w:val="21"/>
          <w:szCs w:val="21"/>
        </w:rPr>
        <w:tab/>
        <w:t>Designation of Depositories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The Corporation, by resolution, designates one or more commercial banks or trust companies for the deposit of Corporation funds received by the Corporation.  Such resolution shall specify the maximum amount that may be kept on deposit at any time with each bank or trust company.  Such designations and amounts may be changes at any time by further resolution of the Corporation.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B.</w:t>
      </w:r>
      <w:r w:rsidRPr="00535528">
        <w:rPr>
          <w:rFonts w:asciiTheme="minorHAnsi" w:hAnsiTheme="minorHAnsi" w:cstheme="minorHAnsi"/>
          <w:b/>
          <w:sz w:val="21"/>
          <w:szCs w:val="21"/>
        </w:rPr>
        <w:tab/>
        <w:t>Collateralization of Deposits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In accordance with Section 10 of the General Municipal Law, all deposits of the Corporation (including certificates of deposit and special time deposits) in excess of the amount insured under the provisions of the Federal Deposit Insurance Act shall be secured as defined by Section 10 of the General Municipal Law, at least equal to the aggregate amount of deposits.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b/>
          <w:sz w:val="21"/>
          <w:szCs w:val="21"/>
        </w:rPr>
      </w:pPr>
      <w:r w:rsidRPr="00535528">
        <w:rPr>
          <w:rFonts w:asciiTheme="minorHAnsi" w:hAnsiTheme="minorHAnsi" w:cstheme="minorHAnsi"/>
          <w:b/>
          <w:sz w:val="21"/>
          <w:szCs w:val="21"/>
        </w:rPr>
        <w:t>C.</w:t>
      </w:r>
      <w:r w:rsidRPr="00535528">
        <w:rPr>
          <w:rFonts w:asciiTheme="minorHAnsi" w:hAnsiTheme="minorHAnsi" w:cstheme="minorHAnsi"/>
          <w:b/>
          <w:sz w:val="21"/>
          <w:szCs w:val="21"/>
        </w:rPr>
        <w:tab/>
        <w:t>Safekeeping and Collateralization</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b/>
          <w:sz w:val="21"/>
          <w:szCs w:val="21"/>
        </w:rPr>
      </w:pPr>
      <w:r w:rsidRPr="00535528">
        <w:rPr>
          <w:rFonts w:asciiTheme="minorHAnsi" w:hAnsiTheme="minorHAnsi" w:cstheme="minorHAnsi"/>
          <w:sz w:val="21"/>
          <w:szCs w:val="21"/>
        </w:rPr>
        <w:t>Eligible securities used for collateralizing deposits shall be held by the depository and/or third party bank or trust company subject to security and custodial agreements as described below.</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b/>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b/>
          <w:sz w:val="21"/>
          <w:szCs w:val="21"/>
        </w:rPr>
      </w:pPr>
      <w:r w:rsidRPr="00535528">
        <w:rPr>
          <w:rFonts w:asciiTheme="minorHAnsi" w:hAnsiTheme="minorHAnsi" w:cstheme="minorHAnsi"/>
          <w:sz w:val="21"/>
          <w:szCs w:val="21"/>
        </w:rPr>
        <w:lastRenderedPageBreak/>
        <w:t>1.</w:t>
      </w:r>
      <w:r w:rsidRPr="00535528">
        <w:rPr>
          <w:rFonts w:asciiTheme="minorHAnsi" w:hAnsiTheme="minorHAnsi" w:cstheme="minorHAnsi"/>
          <w:sz w:val="21"/>
          <w:szCs w:val="21"/>
        </w:rPr>
        <w:tab/>
        <w:t>Security Agreement Requirements.  The security agreement shall provide that eligible securities are being pledged to secure Corporation deposits together with agreed upon interest, if any, an any costs or expenses arising out of the collection of such deposits upon default.  It shall also provide the conditions under which the securities may be sold, presented for payment, substituted or released and the events which will enable the corporation to exercise its rights against the pledged securities.  In the event that the securities are not registered or inscribed in the name of the Corporation, such securities shall be delivered in a form suitable for transfer or with an assignment in blank to the depository or its custodial bank.</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2.</w:t>
      </w:r>
      <w:r w:rsidRPr="00535528">
        <w:rPr>
          <w:rFonts w:asciiTheme="minorHAnsi" w:hAnsiTheme="minorHAnsi" w:cstheme="minorHAnsi"/>
          <w:sz w:val="21"/>
          <w:szCs w:val="21"/>
        </w:rPr>
        <w:tab/>
        <w:t>Custodial Agreement Requirements.  The custodial agreement shall provide the securities held by the bank or trust company, as agent of and custodian for the Corporation, will be kept separate and apart from the general assets of the custodial bank or trust company and will not, in any circumstances, be commingled with or become part of the backing for any other deposit or other liabilities.  The custodial agreement should also describe that the custodian shall confirm the receipt, substitution or release of the securities.  The custodial agreement shall provide for the frequency of revaluation of eligible securities and for the substitution of securities when a change in the rating of a security may cause ineligibility.  Such agreement shall include all provisions necessary to provide the Corporation a perfected interest in the securities and may include such other terms as the Corporation Board deems necessary.</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260"/>
        <w:jc w:val="both"/>
        <w:rPr>
          <w:rFonts w:asciiTheme="minorHAnsi" w:hAnsiTheme="minorHAnsi" w:cstheme="minorHAnsi"/>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p>
    <w:p w:rsidR="00535528" w:rsidRP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r w:rsidRPr="00535528">
        <w:rPr>
          <w:rFonts w:asciiTheme="minorHAnsi" w:hAnsiTheme="minorHAnsi" w:cstheme="minorHAnsi"/>
          <w:i/>
          <w:sz w:val="18"/>
          <w:szCs w:val="18"/>
        </w:rPr>
        <w:t>CHEEKTOWAGA ECONOMIC DEVELOPMENT CORPORATION</w:t>
      </w:r>
    </w:p>
    <w:p w:rsidR="00535528" w:rsidRDefault="00535528"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180"/>
        <w:jc w:val="both"/>
        <w:rPr>
          <w:rFonts w:asciiTheme="minorHAnsi" w:hAnsiTheme="minorHAnsi" w:cstheme="minorHAnsi"/>
          <w:i/>
          <w:sz w:val="18"/>
          <w:szCs w:val="18"/>
        </w:rPr>
      </w:pPr>
      <w:r w:rsidRPr="00535528">
        <w:rPr>
          <w:rFonts w:asciiTheme="minorHAnsi" w:hAnsiTheme="minorHAnsi" w:cstheme="minorHAnsi"/>
          <w:i/>
          <w:sz w:val="18"/>
          <w:szCs w:val="18"/>
        </w:rPr>
        <w:t>INVESTMENT POLICY</w:t>
      </w:r>
      <w:r>
        <w:rPr>
          <w:rFonts w:asciiTheme="minorHAnsi" w:hAnsiTheme="minorHAnsi" w:cstheme="minorHAnsi"/>
          <w:i/>
          <w:sz w:val="18"/>
          <w:szCs w:val="18"/>
        </w:rPr>
        <w:t xml:space="preserve"> – Page 4</w:t>
      </w: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535528" w:rsidRDefault="00535528"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sz w:val="21"/>
          <w:szCs w:val="21"/>
        </w:rPr>
      </w:pPr>
      <w:r w:rsidRPr="00535528">
        <w:rPr>
          <w:rFonts w:asciiTheme="minorHAnsi" w:hAnsiTheme="minorHAnsi" w:cstheme="minorHAnsi"/>
          <w:b/>
          <w:sz w:val="21"/>
          <w:szCs w:val="21"/>
        </w:rPr>
        <w:t>Monitoring and Reporting Obligations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The following monitoring and reporting procedures shall be applicable in connection with the deposit and investment of funds subject to this Investment Policy:</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sz w:val="21"/>
          <w:szCs w:val="21"/>
        </w:rPr>
      </w:pPr>
      <w:r w:rsidRPr="00535528">
        <w:rPr>
          <w:rFonts w:asciiTheme="minorHAnsi" w:hAnsiTheme="minorHAnsi" w:cstheme="minorHAnsi"/>
          <w:b/>
          <w:sz w:val="21"/>
          <w:szCs w:val="21"/>
        </w:rPr>
        <w:t>A.</w:t>
      </w:r>
      <w:r w:rsidRPr="00535528">
        <w:rPr>
          <w:rFonts w:asciiTheme="minorHAnsi" w:hAnsiTheme="minorHAnsi" w:cstheme="minorHAnsi"/>
          <w:b/>
          <w:sz w:val="21"/>
          <w:szCs w:val="21"/>
        </w:rPr>
        <w:tab/>
        <w:t>Monthly Monitoring</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t>Each cash and investment account statement will be reviewed and reconciled by the President on a monthly basis.  The Board will review each account reconciliation for accuracy and will investigate any unusual items noted.</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b/>
          <w:sz w:val="21"/>
          <w:szCs w:val="21"/>
        </w:rPr>
      </w:pPr>
      <w:r w:rsidRPr="00535528">
        <w:rPr>
          <w:rFonts w:asciiTheme="minorHAnsi" w:hAnsiTheme="minorHAnsi" w:cstheme="minorHAnsi"/>
          <w:b/>
          <w:sz w:val="21"/>
          <w:szCs w:val="21"/>
        </w:rPr>
        <w:t>B.</w:t>
      </w:r>
      <w:r w:rsidRPr="00535528">
        <w:rPr>
          <w:rFonts w:asciiTheme="minorHAnsi" w:hAnsiTheme="minorHAnsi" w:cstheme="minorHAnsi"/>
          <w:b/>
          <w:sz w:val="21"/>
          <w:szCs w:val="21"/>
        </w:rPr>
        <w:tab/>
        <w:t>Monitoring and Reporting</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900"/>
        <w:jc w:val="both"/>
        <w:rPr>
          <w:rFonts w:asciiTheme="minorHAnsi" w:hAnsiTheme="minorHAnsi" w:cstheme="minorHAnsi"/>
          <w:sz w:val="21"/>
          <w:szCs w:val="21"/>
        </w:rPr>
      </w:pPr>
      <w:r w:rsidRPr="00535528">
        <w:rPr>
          <w:rFonts w:asciiTheme="minorHAnsi" w:hAnsiTheme="minorHAnsi" w:cstheme="minorHAnsi"/>
          <w:sz w:val="21"/>
          <w:szCs w:val="21"/>
        </w:rPr>
        <w:lastRenderedPageBreak/>
        <w:t>Pursuant to Section 2925(5) of the Public Authorities Law, the President shall present a report at each meeting of the Corporation Board of Directors which will include the following information: (i) the cash and investment balances of the Corporation; (ii) identification of any new investments since the last report; (iii) information concerning the selection of investment bankers, brokers, agents, dealers or auditors since the last report; and (iv) the names of the financial institutions holding Corporation deposits.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900" w:hanging="360"/>
        <w:jc w:val="both"/>
        <w:rPr>
          <w:rFonts w:asciiTheme="minorHAnsi" w:hAnsiTheme="minorHAnsi" w:cstheme="minorHAnsi"/>
          <w:b/>
          <w:sz w:val="21"/>
          <w:szCs w:val="21"/>
        </w:rPr>
      </w:pPr>
      <w:r w:rsidRPr="00535528">
        <w:rPr>
          <w:rFonts w:asciiTheme="minorHAnsi" w:hAnsiTheme="minorHAnsi" w:cstheme="minorHAnsi"/>
          <w:b/>
          <w:sz w:val="21"/>
          <w:szCs w:val="21"/>
        </w:rPr>
        <w:t>C.</w:t>
      </w:r>
      <w:r w:rsidRPr="00535528">
        <w:rPr>
          <w:rFonts w:asciiTheme="minorHAnsi" w:hAnsiTheme="minorHAnsi" w:cstheme="minorHAnsi"/>
          <w:b/>
          <w:sz w:val="21"/>
          <w:szCs w:val="21"/>
        </w:rPr>
        <w:tab/>
        <w:t>Annual Monitoring and Reporting</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1.</w:t>
      </w:r>
      <w:r w:rsidRPr="00535528">
        <w:rPr>
          <w:rFonts w:asciiTheme="minorHAnsi" w:hAnsiTheme="minorHAnsi" w:cstheme="minorHAnsi"/>
          <w:sz w:val="21"/>
          <w:szCs w:val="21"/>
        </w:rPr>
        <w:tab/>
        <w:t>On an annual basis, the Corporation will obtain an independent audit of its financial statements, which shall include an audit of its cash and investments and the Corporation’s compliance with this Investment Policy.  The results of the independent audit shall be made available to the Corporation Board at the time of its annual review of this Investment Policy.</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1260" w:hanging="360"/>
        <w:jc w:val="both"/>
        <w:rPr>
          <w:rFonts w:asciiTheme="minorHAnsi" w:hAnsiTheme="minorHAnsi" w:cstheme="minorHAnsi"/>
          <w:sz w:val="21"/>
          <w:szCs w:val="21"/>
        </w:rPr>
      </w:pPr>
      <w:r w:rsidRPr="00535528">
        <w:rPr>
          <w:rFonts w:asciiTheme="minorHAnsi" w:hAnsiTheme="minorHAnsi" w:cstheme="minorHAnsi"/>
          <w:sz w:val="21"/>
          <w:szCs w:val="21"/>
        </w:rPr>
        <w:t>2.</w:t>
      </w:r>
      <w:r w:rsidRPr="00535528">
        <w:rPr>
          <w:rFonts w:asciiTheme="minorHAnsi" w:hAnsiTheme="minorHAnsi" w:cstheme="minorHAnsi"/>
          <w:sz w:val="21"/>
          <w:szCs w:val="21"/>
        </w:rPr>
        <w:tab/>
        <w:t>Pursuant to Section 2926(6) of the Public Authorities Law, the Corporation shall, on an annual basis, prepare and submit for Corporation Board approval an investment report which shall include this Investment Policy, amendments to the Investment Policy since the last investment report, an explanation of the Investment Policy and any amendments, the results of the annual independent audit, the investment income record of the Corporation and a list of the total fees, commissions or other charges paid to each investment banker, broker, agent, dealer and advisor rendering investment associated services to the Corporation since the last investment report.  The investment report will be distributed to those individuals identified in Section 2925(7) (b) of the Public Authorities Law.  The Corporation shall make available to the public copies of its investment report upon reasonable request.</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b/>
          <w:sz w:val="21"/>
          <w:szCs w:val="21"/>
        </w:rPr>
      </w:pPr>
      <w:r w:rsidRPr="00535528">
        <w:rPr>
          <w:rFonts w:asciiTheme="minorHAnsi" w:hAnsiTheme="minorHAnsi" w:cstheme="minorHAnsi"/>
          <w:b/>
          <w:sz w:val="21"/>
          <w:szCs w:val="21"/>
        </w:rPr>
        <w:t>Annual Review</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This investment policy shall be reviewed and approved by the Corporation’s Board of Directors on an annual basis.</w:t>
      </w: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p>
    <w:p w:rsidR="00B851E0" w:rsidRPr="00535528" w:rsidRDefault="00B851E0" w:rsidP="00B851E0">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rFonts w:asciiTheme="minorHAnsi" w:hAnsiTheme="minorHAnsi" w:cstheme="minorHAnsi"/>
          <w:sz w:val="21"/>
          <w:szCs w:val="21"/>
        </w:rPr>
      </w:pPr>
      <w:r w:rsidRPr="00535528">
        <w:rPr>
          <w:rFonts w:asciiTheme="minorHAnsi" w:hAnsiTheme="minorHAnsi" w:cstheme="minorHAnsi"/>
          <w:b/>
          <w:sz w:val="21"/>
          <w:szCs w:val="21"/>
        </w:rPr>
        <w:t>Savings Clause</w:t>
      </w:r>
    </w:p>
    <w:p w:rsidR="00535528" w:rsidRDefault="00B851E0" w:rsidP="00535528">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Theme="minorHAnsi" w:hAnsiTheme="minorHAnsi" w:cstheme="minorHAnsi"/>
          <w:sz w:val="21"/>
          <w:szCs w:val="21"/>
        </w:rPr>
      </w:pPr>
      <w:r w:rsidRPr="00535528">
        <w:rPr>
          <w:rFonts w:asciiTheme="minorHAnsi" w:hAnsiTheme="minorHAnsi" w:cstheme="minorHAnsi"/>
          <w:sz w:val="21"/>
          <w:szCs w:val="21"/>
        </w:rPr>
        <w:t xml:space="preserve">Nothing contained in Section 2925 of the Public Authorities law shall be deemed to alter, affect the validity of, modify the terms of or impair any contract, agreement or investment of funds made or entered into by the Corporation in violation of, or without compliance with the provisions of Section 2925 of the Public </w:t>
      </w:r>
      <w:bookmarkStart w:id="0" w:name="_GoBack"/>
      <w:bookmarkEnd w:id="0"/>
      <w:r w:rsidRPr="00535528">
        <w:rPr>
          <w:rFonts w:asciiTheme="minorHAnsi" w:hAnsiTheme="minorHAnsi" w:cstheme="minorHAnsi"/>
          <w:sz w:val="21"/>
          <w:szCs w:val="21"/>
        </w:rPr>
        <w:t>Authorities Law.</w:t>
      </w:r>
    </w:p>
    <w:sectPr w:rsidR="00535528" w:rsidSect="00535528">
      <w:pgSz w:w="12240" w:h="15840"/>
      <w:pgMar w:top="1440" w:right="144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E0"/>
    <w:rsid w:val="001253DE"/>
    <w:rsid w:val="00285C44"/>
    <w:rsid w:val="00535528"/>
    <w:rsid w:val="00844480"/>
    <w:rsid w:val="00872425"/>
    <w:rsid w:val="00B851E0"/>
    <w:rsid w:val="00CB0691"/>
    <w:rsid w:val="00D0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FC4"/>
  <w15:docId w15:val="{F6FDEE56-C88D-414E-B8C6-A07CB528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691"/>
    <w:rPr>
      <w:rFonts w:ascii="Tahoma" w:hAnsi="Tahoma" w:cs="Tahoma"/>
      <w:sz w:val="16"/>
      <w:szCs w:val="16"/>
    </w:rPr>
  </w:style>
  <w:style w:type="character" w:customStyle="1" w:styleId="BalloonTextChar">
    <w:name w:val="Balloon Text Char"/>
    <w:basedOn w:val="DefaultParagraphFont"/>
    <w:link w:val="BalloonText"/>
    <w:uiPriority w:val="99"/>
    <w:semiHidden/>
    <w:rsid w:val="00CB06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Gabryszak</dc:creator>
  <cp:lastModifiedBy>Jerome Gabryszak</cp:lastModifiedBy>
  <cp:revision>2</cp:revision>
  <cp:lastPrinted>2018-05-14T19:41:00Z</cp:lastPrinted>
  <dcterms:created xsi:type="dcterms:W3CDTF">2021-06-30T23:59:00Z</dcterms:created>
  <dcterms:modified xsi:type="dcterms:W3CDTF">2021-06-30T23:59:00Z</dcterms:modified>
</cp:coreProperties>
</file>